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1440" w:firstLine="0"/>
        <w:jc w:val="both"/>
        <w:rPr>
          <w:rFonts w:ascii="Roboto" w:cs="Roboto" w:eastAsia="Roboto" w:hAnsi="Roboto"/>
          <w:b w:val="1"/>
          <w:bCs w:val="1"/>
          <w:color w:val="1d2125"/>
          <w:sz w:val="23"/>
          <w:szCs w:val="23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u w:val="single"/>
          <w:rtl w:val="0"/>
        </w:rPr>
        <w:t xml:space="preserve">Prompt. Infografía: Pasos para la movilidad profesional en la UE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spacing w:after="0" w:afterAutospacing="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Producto: </w:t>
      </w:r>
      <w:r w:rsidDel="00000000" w:rsidR="00000000" w:rsidRPr="00000000">
        <w:rPr>
          <w:b w:val="1"/>
          <w:bCs w:val="1"/>
          <w:rtl w:val="0"/>
        </w:rPr>
        <w:t xml:space="preserve">“</w:t>
      </w:r>
      <w:r w:rsidDel="00000000" w:rsidR="00000000" w:rsidRPr="00000000">
        <w:rPr>
          <w:rtl w:val="0"/>
        </w:rPr>
        <w:t xml:space="preserve">Pasos para la movilidad profesional en la UE”. (Tarea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spacing w:after="0" w:afterAutospacing="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Herramienta empleada: </w:t>
      </w:r>
      <w:r w:rsidDel="00000000" w:rsidR="00000000" w:rsidRPr="00000000">
        <w:rPr>
          <w:rtl w:val="0"/>
        </w:rPr>
        <w:t xml:space="preserve">Napkin AI Engine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Modelo y versión: </w:t>
      </w:r>
      <w:r w:rsidDel="00000000" w:rsidR="00000000" w:rsidRPr="00000000">
        <w:rPr>
          <w:rtl w:val="0"/>
        </w:rPr>
        <w:t xml:space="preserve">Engine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240" w:lineRule="auto"/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d2125"/>
          <w:sz w:val="23"/>
          <w:szCs w:val="23"/>
          <w:rtl w:val="0"/>
        </w:rPr>
        <w:t xml:space="preserve">Prompt exacto: </w:t>
      </w: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Realiza una infografía con la siguiente información: El mercado laboral actual no se detiene en las fronteras de nuestra región, y cada vez es más común que surjan oportunidades de formación o empleo en otros países de la Unión Europea. Sin embargo, dar el paso genera dudas lógicas sobre la seguridad social, la validez de nuestros estudios o la cobertura médica ante cualquier imprevisto de salud fuera de España. Para que la movilidad internacional sea una ventaja y no un problema, es fundamental conocer los mecanismos de protección que Europa ofrece a sus ciudadanos. Disponer de una hoja de ruta clara sobre trámites de residencia, el uso de la Tarjeta Sanitaria Europea y el funcionamiento de las redes de empleo nos permite tomar decisiones con confianza y autonomía.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Rule="auto"/>
        <w:ind w:left="1440" w:firstLine="0"/>
        <w:rPr>
          <w:rFonts w:ascii="Roboto" w:cs="Roboto" w:eastAsia="Roboto" w:hAnsi="Roboto"/>
          <w:b w:val="1"/>
          <w:bCs w:val="1"/>
          <w:color w:val="1d212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d2125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1d2125"/>
        <w:sz w:val="23"/>
        <w:szCs w:val="23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